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Coláiste Éamann Rís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 In class support agreement</w:t>
      </w:r>
      <w:r w:rsidDel="00000000" w:rsidR="00000000" w:rsidRPr="00000000">
        <w:rPr>
          <w:b w:val="1"/>
          <w:rtl w:val="0"/>
        </w:rPr>
        <w:t xml:space="preserve"> (only)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3973833</wp:posOffset>
            </wp:positionH>
            <wp:positionV relativeFrom="paragraph">
              <wp:posOffset>114300</wp:posOffset>
            </wp:positionV>
            <wp:extent cx="740089" cy="90387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0089" cy="903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Subject:</w:t>
        <w:tab/>
        <w:tab/>
        <w:tab/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Class:</w:t>
        <w:tab/>
        <w:tab/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Time(s):</w:t>
        <w:tab/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Subject Teacher: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SEN Teacher: 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0"/>
        <w:gridCol w:w="2085"/>
        <w:gridCol w:w="2310"/>
        <w:tblGridChange w:id="0">
          <w:tblGrid>
            <w:gridCol w:w="5490"/>
            <w:gridCol w:w="2085"/>
            <w:gridCol w:w="231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Subject Teacher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Resource Teacher</w:t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Who plans the lessons?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Who corrects written work?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Who is the subject expert?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Who addresses the whole class re content/work?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Who will ensure the content matches the subject plan?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Who will set tests?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Who differentiates work?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Who will apply and upload digital version of booklets for CBAs etc?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Behaviour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Who deals with the SEN students behavior?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Who deals with the mainstream students behavior?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Who will note behaviour on VSware?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Who addresses the whole class re behaviour?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760"/>
              </w:tabs>
              <w:rPr/>
            </w:pPr>
            <w:r w:rsidDel="00000000" w:rsidR="00000000" w:rsidRPr="00000000">
              <w:rPr>
                <w:rtl w:val="0"/>
              </w:rPr>
              <w:t xml:space="preserve">Who will speak to students re uniform breaches?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760"/>
              </w:tabs>
              <w:rPr/>
            </w:pPr>
            <w:r w:rsidDel="00000000" w:rsidR="00000000" w:rsidRPr="00000000">
              <w:rPr>
                <w:rtl w:val="0"/>
              </w:rPr>
              <w:t xml:space="preserve">Who sets the rules?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760"/>
              </w:tabs>
              <w:rPr/>
            </w:pPr>
            <w:r w:rsidDel="00000000" w:rsidR="00000000" w:rsidRPr="00000000">
              <w:rPr>
                <w:rtl w:val="0"/>
              </w:rPr>
              <w:t xml:space="preserve">Who will liaise with school management?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Admin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Who will take attendance on VSWare?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Who will meet parents at a PTM?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Who will phone parents if needed?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Who will complete continuous assessments?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Who will be familiar with all SEN students’ PPPs?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Who will update ‘Log of Actions’ on PPPs monthly?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Who will give feedback to SEN students’ progress to Resource teacher (if Resource teacher is not the in-class support teacher)?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Who will be in charge of making sure that students with laptops, have laptops available and support them in using them during class time.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  <w:t xml:space="preserve">The purpose of this agreement is to decide professional guidelines between agreeing parties that are timetabled to work together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